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CFD" w:rsidRPr="00017A78" w:rsidRDefault="00061DF7" w:rsidP="00017A78">
      <w:pPr>
        <w:pStyle w:val="Bodytext30"/>
        <w:widowControl/>
        <w:shd w:val="clear" w:color="auto" w:fill="auto"/>
        <w:spacing w:after="3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Simulacija djelovanja u području klime: opskrba konvencionalnom energijom</w:t>
      </w:r>
    </w:p>
    <w:p w:rsidR="0010014B" w:rsidRPr="00017A78" w:rsidRDefault="0010014B" w:rsidP="00017A78">
      <w:pPr>
        <w:pStyle w:val="Bodytext30"/>
        <w:widowControl/>
        <w:shd w:val="clear" w:color="auto" w:fill="auto"/>
        <w:spacing w:after="38" w:line="240" w:lineRule="auto"/>
        <w:rPr>
          <w:rFonts w:ascii="Times New Roman" w:hAnsi="Times New Roman" w:cs="Times New Roman"/>
          <w:lang w:val="en-GB"/>
        </w:rPr>
      </w:pPr>
    </w:p>
    <w:p w:rsidR="00EA7CFD" w:rsidRPr="00017A78" w:rsidRDefault="00061DF7" w:rsidP="00017A78">
      <w:pPr>
        <w:pStyle w:val="Bodytext40"/>
        <w:widowControl/>
        <w:shd w:val="clear" w:color="auto" w:fill="auto"/>
        <w:tabs>
          <w:tab w:val="left" w:pos="1440"/>
        </w:tabs>
        <w:spacing w:line="240" w:lineRule="auto"/>
      </w:pPr>
      <w:r>
        <w:t>Pripremljeno za:</w:t>
      </w:r>
      <w:r>
        <w:tab/>
        <w:t>Glavne pregovarače za industriju konvencionalne energije</w:t>
      </w:r>
    </w:p>
    <w:p w:rsidR="00EA7CFD" w:rsidRPr="00017A78" w:rsidRDefault="00061DF7" w:rsidP="00017A78">
      <w:pPr>
        <w:pStyle w:val="Bodytext40"/>
        <w:widowControl/>
        <w:shd w:val="clear" w:color="auto" w:fill="auto"/>
        <w:tabs>
          <w:tab w:val="left" w:pos="1440"/>
        </w:tabs>
        <w:spacing w:after="120" w:line="240" w:lineRule="auto"/>
      </w:pPr>
      <w:r>
        <w:t>Predmet:</w:t>
      </w:r>
      <w:r>
        <w:tab/>
        <w:t>Pripreme za sastanak na vrhu o djelovanju u području klime</w:t>
      </w:r>
    </w:p>
    <w:p w:rsidR="00EA7CFD" w:rsidRPr="00017A78" w:rsidRDefault="00061DF7" w:rsidP="00017A78">
      <w:pPr>
        <w:pStyle w:val="Bodytext20"/>
        <w:widowControl/>
        <w:shd w:val="clear" w:color="auto" w:fill="auto"/>
        <w:spacing w:before="0" w:after="120" w:line="240" w:lineRule="auto"/>
        <w:ind w:firstLine="0"/>
        <w:jc w:val="both"/>
      </w:pPr>
      <w:r>
        <w:t xml:space="preserve">Dobrodošli na sastanak na vrhu o klimi. Glavni tajnik UN-a pozvao je vas i vodeće ličnosti iz svih relevantnih skupina dionika da zajedno radite na uspješnom rješavanju pitanja klimatskih promjena. Glavni tajnik u pozivu je </w:t>
      </w:r>
      <w:r>
        <w:rPr>
          <w:rStyle w:val="Bodytext21"/>
        </w:rPr>
        <w:t>poručio</w:t>
      </w:r>
      <w:r>
        <w:t>: „Krizna situacija u pogledu klime bitka je koju zasad gubimo, al</w:t>
      </w:r>
      <w:r w:rsidR="004268E3">
        <w:t>i koju bismo mogli dobiti [...]</w:t>
      </w:r>
      <w:r>
        <w:t xml:space="preserve"> Najbolji znanstveni izvori [...] upozoravaju nas da će povećanje temperature za više od 1,5°C nanijeti nepopravljivu štetu ekosustavima o kojima ovisimo [...] Međutim, znanost nam govori i da nije prekasno.</w:t>
      </w:r>
    </w:p>
    <w:p w:rsidR="00EA7CFD" w:rsidRPr="00017A78" w:rsidRDefault="00061DF7" w:rsidP="00017A78">
      <w:pPr>
        <w:pStyle w:val="Bodytext20"/>
        <w:widowControl/>
        <w:shd w:val="clear" w:color="auto" w:fill="auto"/>
        <w:spacing w:before="0" w:after="120" w:line="240" w:lineRule="auto"/>
        <w:ind w:firstLine="0"/>
        <w:jc w:val="both"/>
      </w:pPr>
      <w:r>
        <w:t>Možemo uspjeti [...] No za to će biti potrebne temeljite promjene u svim aspektima društva: u načinu na koji proizvodimo hranu i gorivo, u načinu na koji koristimo zemljište i u vrsti energije koja s</w:t>
      </w:r>
      <w:r w:rsidR="004268E3">
        <w:t xml:space="preserve">e koristi u gospodarstvu [...] </w:t>
      </w:r>
      <w:r>
        <w:t>Ako djelujemo zajedno, nitko neće biti zapostavljen.”</w:t>
      </w:r>
    </w:p>
    <w:p w:rsidR="00EA7CFD" w:rsidRPr="00017A78" w:rsidRDefault="00061DF7" w:rsidP="00017A78">
      <w:pPr>
        <w:pStyle w:val="Bodytext20"/>
        <w:widowControl/>
        <w:shd w:val="clear" w:color="auto" w:fill="auto"/>
        <w:spacing w:before="0" w:after="120" w:line="240" w:lineRule="auto"/>
        <w:ind w:firstLine="0"/>
        <w:jc w:val="both"/>
      </w:pPr>
      <w:r>
        <w:t xml:space="preserve">Cilj je sastanka na vrhu pripremiti plan kojim bi se globalno zagrijavanje ograničilo na manje od 2°C [3,6°F] iznad predindustrijskih razina i nastojalo zadržati na 1,5°C [2,7°F], što su ujedno međunarodne ciljne vrijednosti formalno navedene u Pariškom klimatskom sporazumu. </w:t>
      </w:r>
      <w:r>
        <w:rPr>
          <w:rStyle w:val="Bodytext21"/>
        </w:rPr>
        <w:t>Znanstvene činjenice</w:t>
      </w:r>
      <w:r>
        <w:t xml:space="preserve"> su jasne: zagrijavanje veće od te razine imat će katastrofalne i nepovratne posljedice koje će ugroziti zdravlje, prosperitet i život ljudi u svim zemljama.</w:t>
      </w:r>
    </w:p>
    <w:p w:rsidR="00EA7CFD" w:rsidRPr="00017A78" w:rsidRDefault="00061DF7" w:rsidP="00017A78">
      <w:pPr>
        <w:pStyle w:val="Bodytext20"/>
        <w:widowControl/>
        <w:shd w:val="clear" w:color="auto" w:fill="auto"/>
        <w:spacing w:before="0" w:after="120" w:line="240" w:lineRule="auto"/>
        <w:ind w:firstLine="0"/>
        <w:jc w:val="both"/>
      </w:pPr>
      <w:r>
        <w:t>Vi predstavljate industriju ugljena, nafte, prirodnog plina i nuklearne energije te elektrodistribucijska poduzeća koja trenutno proizvode većinu energije koja se koristi u svijetu. Vaša skupina uključuje trgovačka društva uvrštena na burzu i nacionalna poduzeća koja se bave naftom i plinom, poduzeća za proizvodnju ugljena, elektrodistribucijska poduzeća koje ovise o fosilnim gorivima te poduzeća koja osiguravaju usluge i opremu za te industrije.</w:t>
      </w:r>
    </w:p>
    <w:p w:rsidR="00EA7CFD" w:rsidRPr="00017A78" w:rsidRDefault="00061DF7" w:rsidP="00017A78">
      <w:pPr>
        <w:pStyle w:val="Bodytext20"/>
        <w:widowControl/>
        <w:shd w:val="clear" w:color="auto" w:fill="auto"/>
        <w:spacing w:before="0" w:after="120" w:line="240" w:lineRule="auto"/>
        <w:ind w:firstLine="0"/>
        <w:jc w:val="both"/>
      </w:pPr>
      <w:r>
        <w:t>Prioriteti koje želite uključiti u javne politike navedeni su u nastavku, no možete iznijeti ili blokirati bilo koji prijedlog.</w:t>
      </w:r>
    </w:p>
    <w:p w:rsidR="00EA7CFD" w:rsidRPr="00017A78" w:rsidRDefault="00061DF7" w:rsidP="00017A78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20" w:line="240" w:lineRule="auto"/>
        <w:ind w:left="400" w:right="-1"/>
        <w:jc w:val="both"/>
      </w:pPr>
      <w:r>
        <w:rPr>
          <w:rStyle w:val="Bodytext2Bold"/>
        </w:rPr>
        <w:t xml:space="preserve">Protivite se visokoj cijeni ugljika. </w:t>
      </w:r>
      <w:r>
        <w:t>Vaši ekonomisti slažu se s time da bi najbolji način za smanjenje globalnih emisija bilo povećanje cijene fosilnih goriva uvođenjem visoke cijene ugljika. Tako bi cijena fosilnih goriva odražavala ekološke i društvene troškove emisija stakleničkih plinova. Međutim, cijena ugljika veća od 25 – 30 USD po toni CO</w:t>
      </w:r>
      <w:r>
        <w:rPr>
          <w:vertAlign w:val="subscript"/>
        </w:rPr>
        <w:t>2</w:t>
      </w:r>
      <w:r>
        <w:t xml:space="preserve"> nanijela bi neprihvatljivu štetu industriji fosilnih goriva jer bi se troškovi povećali, a potražnja smanjila, što bi dovelo do obezvređivanja imovine i gubitka vrijednosti dionica. Iako neka naftna poduzeća u javnosti tvrde da podržavaju određivanje cijene ugljika, vaša industrija i dalje financira političare koji se tome protive i blokiraju mjere u tom smislu. Očekujete da će druge skupine vršiti pritisak u cilju određivanja cijene ugljika. Zauzmite čvrst stav protiv te politike.</w:t>
      </w:r>
    </w:p>
    <w:p w:rsidR="00EA7CFD" w:rsidRPr="00017A78" w:rsidRDefault="00061DF7" w:rsidP="00017A78">
      <w:pPr>
        <w:pStyle w:val="Bodytext20"/>
        <w:widowControl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120" w:line="240" w:lineRule="auto"/>
        <w:ind w:left="400" w:right="-1"/>
        <w:jc w:val="both"/>
      </w:pPr>
      <w:r>
        <w:rPr>
          <w:rStyle w:val="Bodytext2Bold"/>
        </w:rPr>
        <w:t xml:space="preserve">Protivite se porezu na fosilna goriva. </w:t>
      </w:r>
      <w:r>
        <w:t>Vaša industrija ne želi da joj se nameću propisi i ne želi pokrivati troškove ublažavanja klimatskih promjena. Budući da već očekujete znatne gubitke u poslovanju zbog toga što će se u predstojećim godinama koristiti manje fosilnih goriva, ne možete snositi dodatne troškove koji vašu industriju nepravedno stavljaju u slabiji položaj. Zapravo biste mogli zatražiti subvencije za prirodni plin, koji promičete kao „prijelazno gorivo“ jer proizvodi manje ugljika nego ugljen i nafta. Ako su novi propisi neizbježni, bolje je nametnuti ograničenja za ugljen nego za naftu i plin. Ugljen donosi manju dobit od nafte i plina, a pri izgaranju ispušta najveću količinu ugljika.</w:t>
      </w:r>
    </w:p>
    <w:p w:rsidR="00934588" w:rsidRPr="00017A78" w:rsidRDefault="00934588" w:rsidP="00017A78">
      <w:pPr>
        <w:pStyle w:val="Bodytext20"/>
        <w:widowControl/>
        <w:numPr>
          <w:ilvl w:val="0"/>
          <w:numId w:val="1"/>
        </w:numPr>
        <w:shd w:val="clear" w:color="auto" w:fill="auto"/>
        <w:spacing w:before="0" w:after="120" w:line="240" w:lineRule="auto"/>
        <w:ind w:left="400" w:right="-1"/>
        <w:jc w:val="both"/>
      </w:pPr>
      <w:r>
        <w:rPr>
          <w:b/>
        </w:rPr>
        <w:t xml:space="preserve">Promičete nove tehnologije, uključujući </w:t>
      </w:r>
      <w:proofErr w:type="spellStart"/>
      <w:r>
        <w:rPr>
          <w:b/>
        </w:rPr>
        <w:t>biogoriva</w:t>
      </w:r>
      <w:proofErr w:type="spellEnd"/>
      <w:r>
        <w:rPr>
          <w:b/>
        </w:rPr>
        <w:t xml:space="preserve"> te tehnološko uklanjanje ugljika iz atmosfere, hvatanje i skladištenje ugljika.</w:t>
      </w:r>
    </w:p>
    <w:p w:rsidR="00EA7CFD" w:rsidRPr="00F534AB" w:rsidRDefault="00061DF7" w:rsidP="00017A78">
      <w:pPr>
        <w:pStyle w:val="Bodytext20"/>
        <w:widowControl/>
        <w:shd w:val="clear" w:color="auto" w:fill="auto"/>
        <w:spacing w:before="0" w:after="120" w:line="240" w:lineRule="auto"/>
        <w:ind w:left="400" w:firstLine="0"/>
        <w:jc w:val="both"/>
      </w:pPr>
      <w:r>
        <w:t xml:space="preserve">Vaša industrija podržava veću upotrebu prirodnog plina i </w:t>
      </w:r>
      <w:proofErr w:type="spellStart"/>
      <w:r>
        <w:t>biogoriva</w:t>
      </w:r>
      <w:proofErr w:type="spellEnd"/>
      <w:r>
        <w:t xml:space="preserve"> te istraživanja u cilju razvijanja tehnologije kojom se ugljik uklanja iz atmosfere i skladišti u tlu.</w:t>
      </w:r>
      <w:r>
        <w:rPr>
          <w:i/>
          <w:iCs/>
          <w:sz w:val="18"/>
          <w:szCs w:val="18"/>
        </w:rPr>
        <w:t xml:space="preserve"> </w:t>
      </w:r>
      <w:r w:rsidRPr="00E71D05">
        <w:t xml:space="preserve">Vaša stručnost u području velikih projekata inženjerstva, geologije i transporta goriva može se primijeniti na ta </w:t>
      </w:r>
      <w:r w:rsidRPr="00E71D05">
        <w:lastRenderedPageBreak/>
        <w:t xml:space="preserve">goriva i te industrije. Podržavate i hvatanje i skladištenje ugljika iz elektrana koje rade na ugljen i druga goriva, kao i </w:t>
      </w:r>
      <w:proofErr w:type="spellStart"/>
      <w:r w:rsidRPr="00E71D05">
        <w:t>biogoriva</w:t>
      </w:r>
      <w:proofErr w:type="spellEnd"/>
      <w:r w:rsidRPr="00E71D05">
        <w:t xml:space="preserve"> koja omogućuju hvatanje i skladištenje ugljika. Tehnologija za hvatanje i skladištenje ugljika mogla bi ukloniti 90 % CO2</w:t>
      </w:r>
      <w:r>
        <w:t xml:space="preserve"> proizvedenog izgaranjem fosilnih goriva u elektranama i industrijskim procesima. CO</w:t>
      </w:r>
      <w:r w:rsidRPr="00E71D05">
        <w:t>2</w:t>
      </w:r>
      <w:r>
        <w:t xml:space="preserve"> zatim može biti ukapljen i </w:t>
      </w:r>
      <w:proofErr w:type="spellStart"/>
      <w:r>
        <w:t>upumpan</w:t>
      </w:r>
      <w:proofErr w:type="spellEnd"/>
      <w:r>
        <w:t xml:space="preserve"> u tlo kako bi se potaknula proizvodnja nafte i plina. Kao druga – manje profitabilna – opcija, može se </w:t>
      </w:r>
      <w:proofErr w:type="spellStart"/>
      <w:r>
        <w:t>upumpati</w:t>
      </w:r>
      <w:proofErr w:type="spellEnd"/>
      <w:r>
        <w:t xml:space="preserve"> u geološke spremnike za koje tvrdite da će biti stabilni. Ako tehnologija za uklanjanje ugljika postane izvediva i troškovno konkurentna, to bi pomoglo vašoj industriji jer bi se CO</w:t>
      </w:r>
      <w:r>
        <w:rPr>
          <w:vertAlign w:val="subscript"/>
        </w:rPr>
        <w:t>2</w:t>
      </w:r>
      <w:r>
        <w:t xml:space="preserve"> mogao ukloniti iz atmosfere, čime bi se kompenzirale emisije koje bi se nastavile ispuštati ako se nastave koristiti fosilna goriva.</w:t>
      </w:r>
    </w:p>
    <w:p w:rsidR="00EA7CFD" w:rsidRPr="00941B40" w:rsidRDefault="00061DF7" w:rsidP="00017A78">
      <w:pPr>
        <w:pStyle w:val="Bodytext20"/>
        <w:widowControl/>
        <w:numPr>
          <w:ilvl w:val="0"/>
          <w:numId w:val="1"/>
        </w:numPr>
        <w:shd w:val="clear" w:color="auto" w:fill="auto"/>
        <w:spacing w:before="0" w:after="120" w:line="240" w:lineRule="auto"/>
        <w:ind w:left="400" w:right="-1"/>
        <w:jc w:val="both"/>
      </w:pPr>
      <w:r>
        <w:rPr>
          <w:b/>
        </w:rPr>
        <w:t>Potičete djelovanje koja ne utječe izravno na vašu industriju.</w:t>
      </w:r>
      <w:r>
        <w:t xml:space="preserve"> Premda razumijete da su klimatske promjene opasne, morate zaštititi vrijednost dionica. Stoga se zalažete za politike kojima bi se mogle smanjiti emisije stakleničkih plinova, a da se ne smanji upotreba fosilnih goriva. Iako CO</w:t>
      </w:r>
      <w:r>
        <w:rPr>
          <w:vertAlign w:val="subscript"/>
        </w:rPr>
        <w:t>2</w:t>
      </w:r>
      <w:r>
        <w:t xml:space="preserve"> iz fosilnih goriva najviše doprinosi klimatskim promjenama, metan (CH</w:t>
      </w:r>
      <w:r>
        <w:rPr>
          <w:vertAlign w:val="subscript"/>
        </w:rPr>
        <w:t>4</w:t>
      </w:r>
      <w:r>
        <w:t>), dušikov oksid (N</w:t>
      </w:r>
      <w:r>
        <w:rPr>
          <w:vertAlign w:val="subscript"/>
        </w:rPr>
        <w:t>2</w:t>
      </w:r>
      <w:r>
        <w:t>O) i drugi plinovi opasni su staklenički plinovi čiji se učinak povećava. Prakse koje se u svijetu koriste u poljoprivredi i šumarstvu u velikoj mjeri doprinose emisijama tih plinova. Vi podržavate politike za smanjenje tih drugih stakleničkih plinova, prvenstveno emisije koje proizlaze iz korištenja zemljišta, poljoprivrede i šumarstva. Podržavate i napore za smanjenje deforestacije i za pošumljavanje prethodno degradiranih i iskrčenih zemljišta.</w:t>
      </w:r>
    </w:p>
    <w:p w:rsidR="00EA7CFD" w:rsidRPr="00017A78" w:rsidRDefault="00061DF7" w:rsidP="00017A78">
      <w:pPr>
        <w:pStyle w:val="Bodytext60"/>
        <w:widowControl/>
        <w:shd w:val="clear" w:color="auto" w:fill="auto"/>
        <w:spacing w:before="0" w:after="120" w:line="240" w:lineRule="auto"/>
      </w:pPr>
      <w:r>
        <w:t>Dodatne informacije koje je potrebno uzeti u obzir</w:t>
      </w:r>
    </w:p>
    <w:p w:rsidR="00EA7CFD" w:rsidRPr="00017A78" w:rsidRDefault="00061DF7" w:rsidP="00017A78">
      <w:pPr>
        <w:pStyle w:val="Bodytext20"/>
        <w:widowControl/>
        <w:shd w:val="clear" w:color="auto" w:fill="auto"/>
        <w:spacing w:before="0" w:after="120" w:line="240" w:lineRule="auto"/>
        <w:ind w:firstLine="0"/>
        <w:jc w:val="both"/>
      </w:pPr>
      <w:r>
        <w:t xml:space="preserve">Vaši stručnjaci za znanost o klimi slažu se s </w:t>
      </w:r>
      <w:proofErr w:type="spellStart"/>
      <w:r>
        <w:t>cjenom</w:t>
      </w:r>
      <w:proofErr w:type="spellEnd"/>
      <w:r>
        <w:t xml:space="preserve"> Međuvladinog tijela za klimatske promjene (IPCC) o prijetnji koju predstavljaju klimatske promjene. Međutim, morate staviti na vagu, s jedne strane, nužnost sprečavanja opasnih klimatskih promjena, a s druge, potrebe vaših ključnih dionika, uključujući vaše dioničare, zaposlenike, javnost (vaše klijente) i kreatore politika koji izdaju dozvole za vaš rad i propise za vašu industriju te time utječu na vaše troškove poslovanja, a naposljetku, i vaše osobne financijske interese kao čelnika tih poduzeća.</w:t>
      </w:r>
    </w:p>
    <w:p w:rsidR="00EA7CFD" w:rsidRPr="00017A78" w:rsidRDefault="00061DF7" w:rsidP="00017A78">
      <w:pPr>
        <w:pStyle w:val="Bodytext20"/>
        <w:widowControl/>
        <w:shd w:val="clear" w:color="auto" w:fill="auto"/>
        <w:spacing w:before="0" w:after="120" w:line="240" w:lineRule="auto"/>
        <w:ind w:firstLine="0"/>
        <w:jc w:val="both"/>
      </w:pPr>
      <w:r>
        <w:t>Više od 95 % svjetske energije dobiva se iz konvencionalnih izvora, uključujući fosilna goriva i nuklearnu energiju. Vaša industrija samo osigurava ono što potrošači žele te je ne bi trebalo kriviti ili kažnjavati za klimatske promjene. Smanjenje uporabe fosilnih goriva moglo bi u kratkom roku skupo koštati i potrošače i gospodarstvo. Infrastruktura za fosilna goriva već postoji gotovo posvuda u svijetu, a u mnogim zemljama u razvoju novi kapaciteti za fosilna goriva i dalje se brzo razvijaju. Obnovljivi izvori energije poput vjetra i sunca nepostojani su i još uvijek nedovoljno razvijeni da bi svjetsko gospodarstvo opskrbljivali energijom. Vaš je stav da su fosilna goriva od ključne važnosti za iskorjenjivanje „energetskog siromaštva” i poticanje gospodarskog rasta, naročito u zemljama u razvoju. Nemojte dopustiti da vas aktivisti za zaštitu okoliša prikažu kao osobe koje ne mare za socijalnu pravdu.</w:t>
      </w:r>
    </w:p>
    <w:p w:rsidR="00EA7CFD" w:rsidRPr="00017A78" w:rsidRDefault="00061DF7" w:rsidP="00017A78">
      <w:pPr>
        <w:pStyle w:val="Bodytext20"/>
        <w:widowControl/>
        <w:shd w:val="clear" w:color="auto" w:fill="auto"/>
        <w:spacing w:before="0" w:after="120" w:line="240" w:lineRule="auto"/>
        <w:ind w:firstLine="0"/>
        <w:jc w:val="both"/>
      </w:pPr>
      <w:r>
        <w:t>Proizvođači fosilnih goriva, uključujući poduzeća u sektoru ugljena, nafte i plina, bit će izloženi velikim financijskim poteškoćama ako se provedu politike za ograničavanje zagrijavanja na oko 2°C. Poduzeća koja ovise o fosilnim gorivima morat će se stubokom izmijeniti ili će bankrotirati. Ograničavanje zagrijavanja na 2°C značilo bi da bi velik dio otkrivenih resursa fosilnih goriva morao ostati u tlu i postati bezvrijedna imovina, što znači da se ne bi ostvarila dobit za dioničare ili vlade. Izgubit će se mnogo radnih mjesta.</w:t>
      </w:r>
    </w:p>
    <w:p w:rsidR="00EA7CFD" w:rsidRPr="00017A78" w:rsidRDefault="00061DF7" w:rsidP="00017A78">
      <w:pPr>
        <w:pStyle w:val="Bodytext20"/>
        <w:widowControl/>
        <w:shd w:val="clear" w:color="auto" w:fill="auto"/>
        <w:spacing w:before="0" w:after="120" w:line="240" w:lineRule="auto"/>
        <w:ind w:firstLine="0"/>
        <w:jc w:val="both"/>
      </w:pPr>
      <w:r>
        <w:t>Jednako tako, vi znate da se globalne emisije moraju smanjiti kako bi se izbjegle najgore posljedice klimatskih promjena. Podizanje razine mora, sve ekstremniji vremenski uvjeti i geopolitičke dislokacije koje to uzrokuje predstavljaju ozbiljan rizik za postojeću infrastrukturu za opskrbu energijom, kao i za svjetsko gospodarstvo. Što je veća šteta uzrokovana klimatskim poremećajima, to je veća vjerojatnost da će se usvojiti ekstremne politike i propisi koji će nanijeti štetu fosilnoj industriji. Usporedno s vašim djelovanjem da spriječite usvajanje takvih politika i propisa, morate promisliti kako biste mogli iskoristiti svoju infrastrukturu, financijski kapital i stručno znanje za tržišno natjecanje – i preživljavanje – u svijetu koji se sve više zagrijava.</w:t>
      </w:r>
    </w:p>
    <w:p w:rsidR="00934588" w:rsidRPr="00E71D05" w:rsidRDefault="00934588" w:rsidP="00017A78">
      <w:pPr>
        <w:pStyle w:val="Bodytext20"/>
        <w:widowControl/>
        <w:shd w:val="clear" w:color="auto" w:fill="auto"/>
        <w:spacing w:before="0" w:after="120" w:line="240" w:lineRule="auto"/>
        <w:ind w:firstLine="0"/>
        <w:jc w:val="both"/>
        <w:rPr>
          <w:lang w:val="en-GB"/>
        </w:rPr>
      </w:pPr>
      <w:bookmarkStart w:id="0" w:name="_GoBack"/>
    </w:p>
    <w:bookmarkEnd w:id="0"/>
    <w:p w:rsidR="00934588" w:rsidRPr="00017A78" w:rsidRDefault="00934588" w:rsidP="00017A78">
      <w:pPr>
        <w:widowControl/>
        <w:jc w:val="center"/>
      </w:pPr>
      <w:r>
        <w:t>_____________</w:t>
      </w:r>
    </w:p>
    <w:sectPr w:rsidR="00934588" w:rsidRPr="00017A78" w:rsidSect="00934588">
      <w:footerReference w:type="default" r:id="rId7"/>
      <w:pgSz w:w="11907" w:h="16840" w:code="9"/>
      <w:pgMar w:top="1417" w:right="1417" w:bottom="1417" w:left="1417" w:header="709" w:footer="70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579" w:rsidRDefault="00061DF7">
      <w:r>
        <w:separator/>
      </w:r>
    </w:p>
  </w:endnote>
  <w:endnote w:type="continuationSeparator" w:id="0">
    <w:p w:rsidR="00007579" w:rsidRDefault="0006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588" w:rsidRPr="00934588" w:rsidRDefault="00934588" w:rsidP="00934588">
    <w:pPr>
      <w:pStyle w:val="Footer"/>
      <w:spacing w:line="240" w:lineRule="auto"/>
      <w:rPr>
        <w:i/>
        <w:sz w:val="20"/>
        <w:szCs w:val="20"/>
      </w:rPr>
    </w:pPr>
    <w:r>
      <w:rPr>
        <w:i/>
        <w:sz w:val="20"/>
        <w:szCs w:val="20"/>
      </w:rPr>
      <w:t xml:space="preserve">Pripremili: </w:t>
    </w:r>
    <w:proofErr w:type="spellStart"/>
    <w:r>
      <w:rPr>
        <w:i/>
        <w:sz w:val="20"/>
        <w:szCs w:val="20"/>
      </w:rPr>
      <w:t>Climate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Interactive</w:t>
    </w:r>
    <w:proofErr w:type="spellEnd"/>
    <w:r>
      <w:rPr>
        <w:i/>
        <w:sz w:val="20"/>
        <w:szCs w:val="20"/>
      </w:rPr>
      <w:t xml:space="preserve">, MIT </w:t>
    </w:r>
    <w:proofErr w:type="spellStart"/>
    <w:r>
      <w:rPr>
        <w:i/>
        <w:sz w:val="20"/>
        <w:szCs w:val="20"/>
      </w:rPr>
      <w:t>Sloan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School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of</w:t>
    </w:r>
    <w:proofErr w:type="spellEnd"/>
    <w:r>
      <w:rPr>
        <w:i/>
        <w:sz w:val="20"/>
        <w:szCs w:val="20"/>
      </w:rPr>
      <w:t xml:space="preserve"> Management </w:t>
    </w:r>
    <w:proofErr w:type="spellStart"/>
    <w:r>
      <w:rPr>
        <w:i/>
        <w:sz w:val="20"/>
        <w:szCs w:val="20"/>
      </w:rPr>
      <w:t>Sustainability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Initiative</w:t>
    </w:r>
    <w:proofErr w:type="spellEnd"/>
    <w:r>
      <w:rPr>
        <w:i/>
        <w:sz w:val="20"/>
        <w:szCs w:val="20"/>
      </w:rPr>
      <w:t xml:space="preserve">, ESB Business </w:t>
    </w:r>
    <w:proofErr w:type="spellStart"/>
    <w:r>
      <w:rPr>
        <w:i/>
        <w:sz w:val="20"/>
        <w:szCs w:val="20"/>
      </w:rPr>
      <w:t>School</w:t>
    </w:r>
    <w:proofErr w:type="spellEnd"/>
    <w:r>
      <w:rPr>
        <w:i/>
        <w:sz w:val="20"/>
        <w:szCs w:val="20"/>
      </w:rPr>
      <w:t xml:space="preserve"> i UMAS </w:t>
    </w:r>
    <w:proofErr w:type="spellStart"/>
    <w:r>
      <w:rPr>
        <w:i/>
        <w:sz w:val="20"/>
        <w:szCs w:val="20"/>
      </w:rPr>
      <w:t>Lowell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Climate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Change</w:t>
    </w:r>
    <w:proofErr w:type="spellEnd"/>
    <w:r>
      <w:rPr>
        <w:i/>
        <w:sz w:val="20"/>
        <w:szCs w:val="20"/>
      </w:rPr>
      <w:t xml:space="preserve"> </w:t>
    </w:r>
    <w:proofErr w:type="spellStart"/>
    <w:r>
      <w:rPr>
        <w:i/>
        <w:sz w:val="20"/>
        <w:szCs w:val="20"/>
      </w:rPr>
      <w:t>Initiative</w:t>
    </w:r>
    <w:proofErr w:type="spellEnd"/>
    <w:r>
      <w:rPr>
        <w:i/>
        <w:sz w:val="20"/>
        <w:szCs w:val="20"/>
      </w:rPr>
      <w:t xml:space="preserve">. Posljednji put ažurirano u rujnu 2019. </w:t>
    </w:r>
    <w:hyperlink r:id="rId1" w:history="1">
      <w:r>
        <w:rPr>
          <w:rStyle w:val="Hyperlink"/>
          <w:i/>
          <w:sz w:val="20"/>
          <w:szCs w:val="20"/>
        </w:rPr>
        <w:t>www.cllmatelnteractlve.org</w:t>
      </w:r>
    </w:hyperlink>
    <w:r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CFD" w:rsidRDefault="00EA7CFD"/>
  </w:footnote>
  <w:footnote w:type="continuationSeparator" w:id="0">
    <w:p w:rsidR="00EA7CFD" w:rsidRDefault="00EA7C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67507"/>
    <w:multiLevelType w:val="multilevel"/>
    <w:tmpl w:val="D7A450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CFD"/>
    <w:rsid w:val="00007579"/>
    <w:rsid w:val="00017A78"/>
    <w:rsid w:val="00061DF7"/>
    <w:rsid w:val="0010014B"/>
    <w:rsid w:val="001C401E"/>
    <w:rsid w:val="002A3890"/>
    <w:rsid w:val="004268E3"/>
    <w:rsid w:val="00565AD4"/>
    <w:rsid w:val="00934588"/>
    <w:rsid w:val="00941B40"/>
    <w:rsid w:val="009C54B9"/>
    <w:rsid w:val="00B66DC1"/>
    <w:rsid w:val="00B75ADD"/>
    <w:rsid w:val="00D835B4"/>
    <w:rsid w:val="00DF6E68"/>
    <w:rsid w:val="00E71D05"/>
    <w:rsid w:val="00EA7CFD"/>
    <w:rsid w:val="00F5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1DA0"/>
  <w15:docId w15:val="{E74F9289-214A-4161-9613-2875906FFA79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ing11">
    <w:name w:val="Heading #1|1_"/>
    <w:basedOn w:val="DefaultParagraphFont"/>
    <w:link w:val="Heading110"/>
    <w:rPr>
      <w:b/>
      <w:bCs/>
      <w:i w:val="0"/>
      <w:iCs w:val="0"/>
      <w:smallCaps w:val="0"/>
      <w:strike w:val="0"/>
      <w:sz w:val="102"/>
      <w:szCs w:val="102"/>
      <w:u w:val="none"/>
    </w:rPr>
  </w:style>
  <w:style w:type="character" w:customStyle="1" w:styleId="Heading1142pt">
    <w:name w:val="Heading #1|1 + 42 pt"/>
    <w:basedOn w:val="Heading11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4"/>
      <w:szCs w:val="84"/>
      <w:u w:val="none"/>
      <w:lang w:val="hr-HR" w:eastAsia="el-GR" w:bidi="el-GR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single"/>
      <w:lang w:val="hr-HR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D"/>
      <w:spacing w:val="0"/>
      <w:w w:val="100"/>
      <w:position w:val="0"/>
      <w:sz w:val="22"/>
      <w:szCs w:val="22"/>
      <w:u w:val="none"/>
      <w:lang w:val="hr-HR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r-HR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hr-HR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efaultParagraphFont"/>
    <w:link w:val="Bodytext6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6NotBold">
    <w:name w:val="Body text|6 + Not Bold"/>
    <w:basedOn w:val="Bodytext6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r-HR" w:eastAsia="en-US" w:bidi="en-US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after="620" w:line="402" w:lineRule="exact"/>
    </w:pPr>
    <w:rPr>
      <w:rFonts w:ascii="Arial" w:eastAsia="Arial" w:hAnsi="Arial" w:cs="Arial"/>
      <w:b/>
      <w:bCs/>
      <w:sz w:val="36"/>
      <w:szCs w:val="36"/>
    </w:rPr>
  </w:style>
  <w:style w:type="paragraph" w:customStyle="1" w:styleId="Heading110">
    <w:name w:val="Heading #1|1"/>
    <w:basedOn w:val="Normal"/>
    <w:link w:val="Heading11"/>
    <w:qFormat/>
    <w:pPr>
      <w:shd w:val="clear" w:color="auto" w:fill="FFFFFF"/>
      <w:spacing w:before="620" w:line="1130" w:lineRule="exact"/>
      <w:jc w:val="center"/>
      <w:outlineLvl w:val="0"/>
    </w:pPr>
    <w:rPr>
      <w:b/>
      <w:bCs/>
      <w:sz w:val="102"/>
      <w:szCs w:val="102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line="269" w:lineRule="exact"/>
      <w:jc w:val="both"/>
    </w:pPr>
    <w:rPr>
      <w:b/>
      <w:bCs/>
      <w:sz w:val="22"/>
      <w:szCs w:val="22"/>
    </w:rPr>
  </w:style>
  <w:style w:type="paragraph" w:customStyle="1" w:styleId="Bodytext20">
    <w:name w:val="Body text|2"/>
    <w:basedOn w:val="Normal"/>
    <w:link w:val="Bodytext2"/>
    <w:qFormat/>
    <w:pPr>
      <w:shd w:val="clear" w:color="auto" w:fill="FFFFFF"/>
      <w:spacing w:before="120" w:line="269" w:lineRule="exact"/>
      <w:ind w:hanging="400"/>
    </w:pPr>
    <w:rPr>
      <w:sz w:val="22"/>
      <w:szCs w:val="22"/>
    </w:rPr>
  </w:style>
  <w:style w:type="paragraph" w:customStyle="1" w:styleId="Bodytext50">
    <w:name w:val="Body text|5"/>
    <w:basedOn w:val="Normal"/>
    <w:link w:val="Bodytext5"/>
    <w:pPr>
      <w:shd w:val="clear" w:color="auto" w:fill="FFFFFF"/>
      <w:spacing w:before="28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60">
    <w:name w:val="Body text|6"/>
    <w:basedOn w:val="Normal"/>
    <w:link w:val="Bodytext6"/>
    <w:pPr>
      <w:shd w:val="clear" w:color="auto" w:fill="FFFFFF"/>
      <w:spacing w:before="120" w:line="269" w:lineRule="exact"/>
    </w:pPr>
    <w:rPr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0014B"/>
    <w:pPr>
      <w:spacing w:line="288" w:lineRule="auto"/>
      <w:jc w:val="both"/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10014B"/>
    <w:rPr>
      <w:color w:val="000000"/>
      <w:sz w:val="22"/>
    </w:rPr>
  </w:style>
  <w:style w:type="paragraph" w:styleId="Footer">
    <w:name w:val="footer"/>
    <w:basedOn w:val="Normal"/>
    <w:link w:val="FooterChar"/>
    <w:uiPriority w:val="99"/>
    <w:unhideWhenUsed/>
    <w:rsid w:val="0010014B"/>
    <w:pPr>
      <w:spacing w:line="288" w:lineRule="auto"/>
      <w:jc w:val="both"/>
    </w:pPr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0014B"/>
    <w:rPr>
      <w:color w:val="000000"/>
      <w:sz w:val="22"/>
    </w:rPr>
  </w:style>
  <w:style w:type="character" w:styleId="Hyperlink">
    <w:name w:val="Hyperlink"/>
    <w:basedOn w:val="DefaultParagraphFont"/>
    <w:uiPriority w:val="99"/>
    <w:unhideWhenUsed/>
    <w:rsid w:val="009345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isis\dfs\softwlib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CTJJHAUHWN5E-644613129-2604</_dlc_DocId>
    <_dlc_DocIdUrl xmlns="bfc960a6-20da-4c94-8684-71380fca093b">
      <Url>http://dm2016/eesc/2019/_layouts/15/DocIdRedir.aspx?ID=CTJJHAUHWN5E-644613129-2604</Url>
      <Description>CTJJHAUHWN5E-644613129-2604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2019-12-09T12:00:00+00:00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162</Value>
      <Value>246</Value>
      <Value>154</Value>
      <Value>64</Value>
      <Value>63</Value>
      <Value>62</Value>
      <Value>59</Value>
      <Value>56</Value>
      <Value>55</Value>
      <Value>52</Value>
      <Value>49</Value>
      <Value>48</Value>
      <Value>46</Value>
      <Value>45</Value>
      <Value>38</Value>
      <Value>153</Value>
      <Value>25</Value>
      <Value>21</Value>
      <Value>17</Value>
      <Value>152</Value>
      <Value>11</Value>
      <Value>7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11384</FicheNumber>
    <DocumentPart xmlns="bfc960a6-20da-4c94-8684-71380fca093b">1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7B66BBA8-18A4-499F-B680-45EB463BC4E3}"/>
</file>

<file path=customXml/itemProps2.xml><?xml version="1.0" encoding="utf-8"?>
<ds:datastoreItem xmlns:ds="http://schemas.openxmlformats.org/officeDocument/2006/customXml" ds:itemID="{44B557C5-5DC5-41E4-B3FE-354A5C9E5D1C}"/>
</file>

<file path=customXml/itemProps3.xml><?xml version="1.0" encoding="utf-8"?>
<ds:datastoreItem xmlns:ds="http://schemas.openxmlformats.org/officeDocument/2006/customXml" ds:itemID="{AA5DFF1A-6A47-49C2-B12D-A28B0AA22C63}"/>
</file>

<file path=customXml/itemProps4.xml><?xml version="1.0" encoding="utf-8"?>
<ds:datastoreItem xmlns:ds="http://schemas.openxmlformats.org/officeDocument/2006/customXml" ds:itemID="{32C5C642-64CE-4361-9D9F-666422EA9362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2</TotalTime>
  <Pages>2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EESC-ECOR</Company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radni dokument - Skupina 2  - Opskrba konvencionalnom energijom</dc:title>
  <dc:creator>Vecko Stanko</dc:creator>
  <cp:keywords>EESC-2019-05163-01-00-INFO-TRA-EN</cp:keywords>
  <dc:description>Rapporteur:  - Original language: EN - Date of document: 09/12/2019 - Date of meeting:  - External documents:  - Administrator: MME LAHOUSSE Chloé</dc:description>
  <cp:lastModifiedBy>Stanko Vecko</cp:lastModifiedBy>
  <cp:revision>4</cp:revision>
  <dcterms:created xsi:type="dcterms:W3CDTF">2019-12-09T12:29:00Z</dcterms:created>
  <dcterms:modified xsi:type="dcterms:W3CDTF">2019-12-09T12:31:00Z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14/11/2019</vt:lpwstr>
  </property>
  <property fmtid="{D5CDD505-2E9C-101B-9397-08002B2CF9AE}" pid="4" name="Pref_Time">
    <vt:lpwstr>08:03:13, 17:09:52</vt:lpwstr>
  </property>
  <property fmtid="{D5CDD505-2E9C-101B-9397-08002B2CF9AE}" pid="5" name="Pref_User">
    <vt:lpwstr>enied, htoo</vt:lpwstr>
  </property>
  <property fmtid="{D5CDD505-2E9C-101B-9397-08002B2CF9AE}" pid="6" name="Pref_FileName">
    <vt:lpwstr>EESC-2019-05163-01-00-INFO-TRA-EN-CRR.docx, EESC-2019-05163-01-00-INFO-CRR-EN.docx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94c52b5e-f44f-4cfa-949b-c3c0dbde5fce</vt:lpwstr>
  </property>
  <property fmtid="{D5CDD505-2E9C-101B-9397-08002B2CF9AE}" pid="9" name="AvailableTranslations">
    <vt:lpwstr>55;#BG|1a1b3951-7821-4e6a-85f5-5673fc08bd2c;#25;#SK|46d9fce0-ef79-4f71-b89b-cd6aa82426b8;#21;#IT|0774613c-01ed-4e5d-a25d-11d2388de825;#38;#SV|c2ed69e7-a339-43d7-8f22-d93680a92aa0;#49;#EL|6d4f4d51-af9b-4650-94b4-4276bee85c91;#62;#FI|87606a43-d45f-42d6-b8c9-e1a3457db5b7;#152;#MK|34ce48bb-063e-4413-a932-50853dc71c5c;#46;#CS|72f9705b-0217-4fd3-bea2-cbc7ed80e26e;#48;#LT|a7ff5ce7-6123-4f68-865a-a57c31810414;#64;#PT|50ccc04a-eadd-42ae-a0cb-acaf45f812ba;#45;#NL|55c6556c-b4f4-441d-9acf-c498d4f838bd;#162;#TR|6e4ededd-04c4-4fa0-94e0-1028050302d5;#63;#MT|7df99101-6854-4a26-b53a-b88c0da02c26;#52;#DA|5d49c027-8956-412b-aa16-e85a0f96ad0e;#17;#ES|e7a6b05b-ae16-40c8-add9-68b64b03aeba;#246;#ME|925b3da5-5ac0-4b3c-928c-6ef66a5c9b3c;#59;#HR|2f555653-ed1a-4fe6-8362-9082d95989e5;#153;#SR|7f3a1d13-b985-4bfd-981e-afe31377edff;#4;#EN|f2175f21-25d7-44a3-96da-d6a61b075e1b;#154;#SQ|5ac17240-8d11-45ec-9893-659b209d7a00;#56;#SL|98a412ae-eb01-49e9-ae3d-585a81724cfc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1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IT|0774613c-01ed-4e5d-a25d-11d2388de825;SV|c2ed69e7-a339-43d7-8f22-d93680a92aa0;EL|6d4f4d51-af9b-4650-94b4-4276bee85c91;MK|34ce48bb-063e-4413-a932-50853dc71c5c;LT|a7ff5ce7-6123-4f68-865a-a57c31810414;NL|55c6556c-b4f4-441d-9acf-c498d4f838bd;TR|6e4ededd-04c4-4fa0-94e0-1028050302d5;MT|7df99101-6854-4a26-b53a-b88c0da02c26;DA|5d49c027-8956-412b-aa16-e85a0f96ad0e;ES|e7a6b05b-ae16-40c8-add9-68b64b03aeba;ME|925b3da5-5ac0-4b3c-928c-6ef66a5c9b3c;SR|7f3a1d13-b985-4bfd-981e-afe31377edff;EN|f2175f21-25d7-44a3-96da-d6a61b075e1b;SQ|5ac17240-8d11-45ec-9893-659b209d7a00;SL|98a412ae-eb01-49e9-ae3d-585a81724cfc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;#EESC|422833ec-8d7e-4e65-8e4e-8bed07ffb729;#63;#MT|7df99101-6854-4a26-b53a-b88c0da02c26;#153;#SR|7f3a1d13-b985-4bfd-981e-afe31377edff;#246;#ME|925b3da5-5ac0-4b3c-928c-6ef66a5c9b3c;#21;#IT|0774613c-01ed-4e5d-a25d-11d2388de825;#56;#SL|98a412ae-eb01-49e9-ae3d-585a81724cfc;#152;#MK|34ce48bb-063e-4413-a932-50853dc71c5c;#17;#ES|e7a6b05b-ae16-40c8-add9-68b64b03aeba;#52;#DA|5d49c027-8956-412b-aa16-e85a0f96ad0e;#162;#TR|6e4ededd-04c4-4fa0-94e0-1028050302d5;#49;#EL|6d4f4d51-af9b-4650-94b4-4276bee85c91;#48;#LT|a7ff5ce7-6123-4f68-865a-a57c31810414;#154;#SQ|5ac17240-8d11-45ec-9893-659b209d7a00;#45;#NL|55c6556c-b4f4-441d-9acf-c498d4f838bd;#7;#Final|ea5e6674-7b27-4bac-b091-73adbb394efe;#11;#INFO|d9136e7c-93a9-4c42-9d28-92b61e85f80c;#5;#Unrestricted|826e22d7-d029-4ec0-a450-0c28ff673572;#4;#EN|f2175f21-25d7-44a3-96da-d6a61b075e1b;#2;#TRA|150d2a88-1431-44e6-a8ca-0bb753ab8672;#38;#SV|c2ed69e7-a339-43d7-8f22-d93680a92aa0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11384</vt:i4>
  </property>
  <property fmtid="{D5CDD505-2E9C-101B-9397-08002B2CF9AE}" pid="37" name="DocumentLanguage">
    <vt:lpwstr>59;#HR|2f555653-ed1a-4fe6-8362-9082d95989e5</vt:lpwstr>
  </property>
</Properties>
</file>